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AF61" w14:textId="77777777" w:rsidR="00133A45" w:rsidRDefault="000E29BE" w:rsidP="005C3B45">
      <w:pPr>
        <w:spacing w:after="1440"/>
        <w:sectPr w:rsidR="00133A45" w:rsidSect="000E29BE">
          <w:headerReference w:type="default" r:id="rId11"/>
          <w:footerReference w:type="default" r:id="rId12"/>
          <w:footerReference w:type="first" r:id="rId13"/>
          <w:pgSz w:w="11906" w:h="16838"/>
          <w:pgMar w:top="1135" w:right="991" w:bottom="1276" w:left="1440" w:header="0" w:footer="113" w:gutter="0"/>
          <w:cols w:space="708"/>
          <w:titlePg/>
          <w:docGrid w:linePitch="360"/>
        </w:sectPr>
      </w:pPr>
      <w:r>
        <w:rPr>
          <w:noProof/>
          <w:lang w:eastAsia="en-AU"/>
        </w:rPr>
        <w:drawing>
          <wp:inline distT="0" distB="0" distL="0" distR="0" wp14:anchorId="069948B1" wp14:editId="41866C1E">
            <wp:extent cx="4637731" cy="850900"/>
            <wp:effectExtent l="0" t="0" r="0" b="635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49657" cy="853088"/>
                    </a:xfrm>
                    <a:prstGeom prst="rect">
                      <a:avLst/>
                    </a:prstGeom>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3CDA6237" w:rsidR="00B041CB" w:rsidRPr="00B041CB" w:rsidRDefault="00AE103C"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October</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7010A5">
        <w:rPr>
          <w:rFonts w:eastAsia="Calibri" w:cs="Times New Roman"/>
          <w:b/>
          <w:color w:val="081E3E"/>
          <w:kern w:val="12"/>
          <w:sz w:val="20"/>
          <w:szCs w:val="20"/>
        </w:rPr>
        <w:t>4</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400DDA7E"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7915AA">
        <w:rPr>
          <w:rFonts w:eastAsia="Calibri" w:cs="Times New Roman"/>
          <w:color w:val="000000"/>
          <w:kern w:val="12"/>
          <w:sz w:val="20"/>
          <w:szCs w:val="20"/>
        </w:rPr>
        <w:t>4</w:t>
      </w:r>
    </w:p>
    <w:p w14:paraId="660F0B32" w14:textId="5B8304A3" w:rsidR="009C1ECD" w:rsidRPr="009C1ECD" w:rsidRDefault="00AE103C"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October</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7915AA">
        <w:rPr>
          <w:rFonts w:eastAsia="Calibri" w:cs="Times New Roman"/>
          <w:color w:val="000000"/>
          <w:kern w:val="12"/>
          <w:sz w:val="20"/>
          <w:szCs w:val="20"/>
        </w:rPr>
        <w:t>4</w:t>
      </w:r>
      <w:r w:rsidR="009C1ECD" w:rsidRPr="009C1ECD">
        <w:rPr>
          <w:rFonts w:eastAsia="Calibri" w:cs="Times New Roman"/>
          <w:color w:val="000000"/>
          <w:kern w:val="12"/>
          <w:sz w:val="20"/>
          <w:szCs w:val="20"/>
        </w:rPr>
        <w:t xml:space="preserve"> / INFRASTRUCTURE 202</w:t>
      </w:r>
      <w:r w:rsidR="007915AA">
        <w:rPr>
          <w:rFonts w:eastAsia="Calibri" w:cs="Times New Roman"/>
          <w:color w:val="000000"/>
          <w:kern w:val="12"/>
          <w:sz w:val="20"/>
          <w:szCs w:val="20"/>
        </w:rPr>
        <w:t>4</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providing professional advice, and that users exercise their own skill and care with respect to its use, and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5"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r w:rsidRPr="009C1ECD">
        <w:t>trade marks</w:t>
      </w:r>
      <w:proofErr w:type="spellEnd"/>
      <w:r w:rsidRPr="009C1ECD">
        <w:t xml:space="preserve"> which may exist. For enquiries regarding the licence and any use of this publication,</w:t>
      </w:r>
      <w:r w:rsidRPr="009C1ECD">
        <w:rPr>
          <w:lang w:val="en-US"/>
        </w:rPr>
        <w:t xml:space="preserve"> </w:t>
      </w:r>
      <w:r w:rsidRPr="009C1ECD">
        <w:t>please contact:</w:t>
      </w:r>
    </w:p>
    <w:p w14:paraId="690896EA" w14:textId="6A8FA125"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6"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17"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3520F17D" w14:textId="7F794094" w:rsidR="001E0725"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83163746" w:history="1">
        <w:r w:rsidR="001E0725" w:rsidRPr="0072658C">
          <w:rPr>
            <w:rStyle w:val="Hyperlink"/>
            <w:noProof/>
          </w:rPr>
          <w:t>Background</w:t>
        </w:r>
        <w:r w:rsidR="001E0725">
          <w:rPr>
            <w:noProof/>
            <w:webHidden/>
          </w:rPr>
          <w:tab/>
        </w:r>
        <w:r w:rsidR="001E0725">
          <w:rPr>
            <w:noProof/>
            <w:webHidden/>
          </w:rPr>
          <w:fldChar w:fldCharType="begin"/>
        </w:r>
        <w:r w:rsidR="001E0725">
          <w:rPr>
            <w:noProof/>
            <w:webHidden/>
          </w:rPr>
          <w:instrText xml:space="preserve"> PAGEREF _Toc183163746 \h </w:instrText>
        </w:r>
        <w:r w:rsidR="001E0725">
          <w:rPr>
            <w:noProof/>
            <w:webHidden/>
          </w:rPr>
        </w:r>
        <w:r w:rsidR="001E0725">
          <w:rPr>
            <w:noProof/>
            <w:webHidden/>
          </w:rPr>
          <w:fldChar w:fldCharType="separate"/>
        </w:r>
        <w:r w:rsidR="001E0725">
          <w:rPr>
            <w:noProof/>
            <w:webHidden/>
          </w:rPr>
          <w:t>4</w:t>
        </w:r>
        <w:r w:rsidR="001E0725">
          <w:rPr>
            <w:noProof/>
            <w:webHidden/>
          </w:rPr>
          <w:fldChar w:fldCharType="end"/>
        </w:r>
      </w:hyperlink>
    </w:p>
    <w:p w14:paraId="4BDD113D" w14:textId="2BAC7F24" w:rsidR="001E0725" w:rsidRDefault="000E1DA6">
      <w:pPr>
        <w:pStyle w:val="TOC1"/>
        <w:rPr>
          <w:rFonts w:asciiTheme="minorHAnsi" w:eastAsiaTheme="minorEastAsia" w:hAnsiTheme="minorHAnsi"/>
          <w:b w:val="0"/>
          <w:noProof/>
          <w:color w:val="auto"/>
          <w:u w:val="none"/>
          <w:lang w:eastAsia="en-AU"/>
        </w:rPr>
      </w:pPr>
      <w:hyperlink w:anchor="_Toc183163747" w:history="1">
        <w:r w:rsidR="001E0725" w:rsidRPr="0072658C">
          <w:rPr>
            <w:rStyle w:val="Hyperlink"/>
            <w:noProof/>
          </w:rPr>
          <w:t>Service level performance: relay service</w:t>
        </w:r>
        <w:r w:rsidR="001E0725">
          <w:rPr>
            <w:noProof/>
            <w:webHidden/>
          </w:rPr>
          <w:tab/>
        </w:r>
        <w:r w:rsidR="001E0725">
          <w:rPr>
            <w:noProof/>
            <w:webHidden/>
          </w:rPr>
          <w:fldChar w:fldCharType="begin"/>
        </w:r>
        <w:r w:rsidR="001E0725">
          <w:rPr>
            <w:noProof/>
            <w:webHidden/>
          </w:rPr>
          <w:instrText xml:space="preserve"> PAGEREF _Toc183163747 \h </w:instrText>
        </w:r>
        <w:r w:rsidR="001E0725">
          <w:rPr>
            <w:noProof/>
            <w:webHidden/>
          </w:rPr>
        </w:r>
        <w:r w:rsidR="001E0725">
          <w:rPr>
            <w:noProof/>
            <w:webHidden/>
          </w:rPr>
          <w:fldChar w:fldCharType="separate"/>
        </w:r>
        <w:r w:rsidR="001E0725">
          <w:rPr>
            <w:noProof/>
            <w:webHidden/>
          </w:rPr>
          <w:t>4</w:t>
        </w:r>
        <w:r w:rsidR="001E0725">
          <w:rPr>
            <w:noProof/>
            <w:webHidden/>
          </w:rPr>
          <w:fldChar w:fldCharType="end"/>
        </w:r>
      </w:hyperlink>
    </w:p>
    <w:p w14:paraId="7AEB4047" w14:textId="6071F49E" w:rsidR="001E0725" w:rsidRDefault="000E1DA6">
      <w:pPr>
        <w:pStyle w:val="TOC1"/>
        <w:rPr>
          <w:rFonts w:asciiTheme="minorHAnsi" w:eastAsiaTheme="minorEastAsia" w:hAnsiTheme="minorHAnsi"/>
          <w:b w:val="0"/>
          <w:noProof/>
          <w:color w:val="auto"/>
          <w:u w:val="none"/>
          <w:lang w:eastAsia="en-AU"/>
        </w:rPr>
      </w:pPr>
      <w:hyperlink w:anchor="_Toc183163748" w:history="1">
        <w:r w:rsidR="001E0725" w:rsidRPr="0072658C">
          <w:rPr>
            <w:rStyle w:val="Hyperlink"/>
            <w:noProof/>
          </w:rPr>
          <w:t>Service level performance: helpdesk</w:t>
        </w:r>
        <w:r w:rsidR="001E0725">
          <w:rPr>
            <w:noProof/>
            <w:webHidden/>
          </w:rPr>
          <w:tab/>
        </w:r>
        <w:r w:rsidR="001E0725">
          <w:rPr>
            <w:noProof/>
            <w:webHidden/>
          </w:rPr>
          <w:fldChar w:fldCharType="begin"/>
        </w:r>
        <w:r w:rsidR="001E0725">
          <w:rPr>
            <w:noProof/>
            <w:webHidden/>
          </w:rPr>
          <w:instrText xml:space="preserve"> PAGEREF _Toc183163748 \h </w:instrText>
        </w:r>
        <w:r w:rsidR="001E0725">
          <w:rPr>
            <w:noProof/>
            <w:webHidden/>
          </w:rPr>
        </w:r>
        <w:r w:rsidR="001E0725">
          <w:rPr>
            <w:noProof/>
            <w:webHidden/>
          </w:rPr>
          <w:fldChar w:fldCharType="separate"/>
        </w:r>
        <w:r w:rsidR="001E0725">
          <w:rPr>
            <w:noProof/>
            <w:webHidden/>
          </w:rPr>
          <w:t>4</w:t>
        </w:r>
        <w:r w:rsidR="001E0725">
          <w:rPr>
            <w:noProof/>
            <w:webHidden/>
          </w:rPr>
          <w:fldChar w:fldCharType="end"/>
        </w:r>
      </w:hyperlink>
    </w:p>
    <w:p w14:paraId="2E0DCBF2" w14:textId="65FC807A" w:rsidR="001E0725" w:rsidRDefault="000E1DA6">
      <w:pPr>
        <w:pStyle w:val="TOC1"/>
        <w:rPr>
          <w:rFonts w:asciiTheme="minorHAnsi" w:eastAsiaTheme="minorEastAsia" w:hAnsiTheme="minorHAnsi"/>
          <w:b w:val="0"/>
          <w:noProof/>
          <w:color w:val="auto"/>
          <w:u w:val="none"/>
          <w:lang w:eastAsia="en-AU"/>
        </w:rPr>
      </w:pPr>
      <w:hyperlink w:anchor="_Toc183163749" w:history="1">
        <w:r w:rsidR="001E0725" w:rsidRPr="0072658C">
          <w:rPr>
            <w:rStyle w:val="Hyperlink"/>
            <w:noProof/>
          </w:rPr>
          <w:t>Successful outbound connections (by inbound service access type)</w:t>
        </w:r>
        <w:r w:rsidR="001E0725">
          <w:rPr>
            <w:noProof/>
            <w:webHidden/>
          </w:rPr>
          <w:tab/>
        </w:r>
        <w:r w:rsidR="001E0725">
          <w:rPr>
            <w:noProof/>
            <w:webHidden/>
          </w:rPr>
          <w:fldChar w:fldCharType="begin"/>
        </w:r>
        <w:r w:rsidR="001E0725">
          <w:rPr>
            <w:noProof/>
            <w:webHidden/>
          </w:rPr>
          <w:instrText xml:space="preserve"> PAGEREF _Toc183163749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6255C8F8" w14:textId="69E6AC4B" w:rsidR="001E0725" w:rsidRDefault="000E1DA6">
      <w:pPr>
        <w:pStyle w:val="TOC1"/>
        <w:rPr>
          <w:rFonts w:asciiTheme="minorHAnsi" w:eastAsiaTheme="minorEastAsia" w:hAnsiTheme="minorHAnsi"/>
          <w:b w:val="0"/>
          <w:noProof/>
          <w:color w:val="auto"/>
          <w:u w:val="none"/>
          <w:lang w:eastAsia="en-AU"/>
        </w:rPr>
      </w:pPr>
      <w:hyperlink w:anchor="_Toc183163750" w:history="1">
        <w:r w:rsidR="001E0725" w:rsidRPr="0072658C">
          <w:rPr>
            <w:rStyle w:val="Hyperlink"/>
            <w:noProof/>
          </w:rPr>
          <w:t>Calls to emergency services relayed through the NRS</w:t>
        </w:r>
        <w:r w:rsidR="001E0725">
          <w:rPr>
            <w:noProof/>
            <w:webHidden/>
          </w:rPr>
          <w:tab/>
        </w:r>
        <w:r w:rsidR="001E0725">
          <w:rPr>
            <w:noProof/>
            <w:webHidden/>
          </w:rPr>
          <w:fldChar w:fldCharType="begin"/>
        </w:r>
        <w:r w:rsidR="001E0725">
          <w:rPr>
            <w:noProof/>
            <w:webHidden/>
          </w:rPr>
          <w:instrText xml:space="preserve"> PAGEREF _Toc183163750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100BCBEE" w14:textId="560F0F19" w:rsidR="001E0725" w:rsidRDefault="000E1DA6">
      <w:pPr>
        <w:pStyle w:val="TOC1"/>
        <w:rPr>
          <w:rFonts w:asciiTheme="minorHAnsi" w:eastAsiaTheme="minorEastAsia" w:hAnsiTheme="minorHAnsi"/>
          <w:b w:val="0"/>
          <w:noProof/>
          <w:color w:val="auto"/>
          <w:u w:val="none"/>
          <w:lang w:eastAsia="en-AU"/>
        </w:rPr>
      </w:pPr>
      <w:hyperlink w:anchor="_Toc183163751" w:history="1">
        <w:r w:rsidR="001E0725" w:rsidRPr="0072658C">
          <w:rPr>
            <w:rStyle w:val="Hyperlink"/>
            <w:noProof/>
          </w:rPr>
          <w:t>Helpdesk enquiries</w:t>
        </w:r>
        <w:r w:rsidR="001E0725">
          <w:rPr>
            <w:noProof/>
            <w:webHidden/>
          </w:rPr>
          <w:tab/>
        </w:r>
        <w:r w:rsidR="001E0725">
          <w:rPr>
            <w:noProof/>
            <w:webHidden/>
          </w:rPr>
          <w:fldChar w:fldCharType="begin"/>
        </w:r>
        <w:r w:rsidR="001E0725">
          <w:rPr>
            <w:noProof/>
            <w:webHidden/>
          </w:rPr>
          <w:instrText xml:space="preserve"> PAGEREF _Toc183163751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2F9B2A46" w14:textId="3C0A5DB9" w:rsidR="001E0725" w:rsidRDefault="000E1DA6">
      <w:pPr>
        <w:pStyle w:val="TOC1"/>
        <w:rPr>
          <w:rFonts w:asciiTheme="minorHAnsi" w:eastAsiaTheme="minorEastAsia" w:hAnsiTheme="minorHAnsi"/>
          <w:b w:val="0"/>
          <w:noProof/>
          <w:color w:val="auto"/>
          <w:u w:val="none"/>
          <w:lang w:eastAsia="en-AU"/>
        </w:rPr>
      </w:pPr>
      <w:hyperlink w:anchor="_Toc183163752" w:history="1">
        <w:r w:rsidR="001E0725" w:rsidRPr="0072658C">
          <w:rPr>
            <w:rStyle w:val="Hyperlink"/>
            <w:noProof/>
          </w:rPr>
          <w:t>Community Engagement Function</w:t>
        </w:r>
        <w:r w:rsidR="001E0725">
          <w:rPr>
            <w:noProof/>
            <w:webHidden/>
          </w:rPr>
          <w:tab/>
        </w:r>
        <w:r w:rsidR="001E0725">
          <w:rPr>
            <w:noProof/>
            <w:webHidden/>
          </w:rPr>
          <w:fldChar w:fldCharType="begin"/>
        </w:r>
        <w:r w:rsidR="001E0725">
          <w:rPr>
            <w:noProof/>
            <w:webHidden/>
          </w:rPr>
          <w:instrText xml:space="preserve"> PAGEREF _Toc183163752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6EB19DD6" w14:textId="7C4E2F92" w:rsidR="001E0725" w:rsidRDefault="000E1DA6">
      <w:pPr>
        <w:pStyle w:val="TOC1"/>
        <w:rPr>
          <w:rFonts w:asciiTheme="minorHAnsi" w:eastAsiaTheme="minorEastAsia" w:hAnsiTheme="minorHAnsi"/>
          <w:b w:val="0"/>
          <w:noProof/>
          <w:color w:val="auto"/>
          <w:u w:val="none"/>
          <w:lang w:eastAsia="en-AU"/>
        </w:rPr>
      </w:pPr>
      <w:hyperlink w:anchor="_Toc183163753" w:history="1">
        <w:r w:rsidR="001E0725" w:rsidRPr="0072658C">
          <w:rPr>
            <w:rStyle w:val="Hyperlink"/>
            <w:noProof/>
          </w:rPr>
          <w:t>User Assistance Function</w:t>
        </w:r>
        <w:r w:rsidR="001E0725">
          <w:rPr>
            <w:noProof/>
            <w:webHidden/>
          </w:rPr>
          <w:tab/>
        </w:r>
        <w:r w:rsidR="001E0725">
          <w:rPr>
            <w:noProof/>
            <w:webHidden/>
          </w:rPr>
          <w:fldChar w:fldCharType="begin"/>
        </w:r>
        <w:r w:rsidR="001E0725">
          <w:rPr>
            <w:noProof/>
            <w:webHidden/>
          </w:rPr>
          <w:instrText xml:space="preserve"> PAGEREF _Toc183163753 \h </w:instrText>
        </w:r>
        <w:r w:rsidR="001E0725">
          <w:rPr>
            <w:noProof/>
            <w:webHidden/>
          </w:rPr>
        </w:r>
        <w:r w:rsidR="001E0725">
          <w:rPr>
            <w:noProof/>
            <w:webHidden/>
          </w:rPr>
          <w:fldChar w:fldCharType="separate"/>
        </w:r>
        <w:r w:rsidR="001E0725">
          <w:rPr>
            <w:noProof/>
            <w:webHidden/>
          </w:rPr>
          <w:t>5</w:t>
        </w:r>
        <w:r w:rsidR="001E0725">
          <w:rPr>
            <w:noProof/>
            <w:webHidden/>
          </w:rPr>
          <w:fldChar w:fldCharType="end"/>
        </w:r>
      </w:hyperlink>
    </w:p>
    <w:p w14:paraId="4AA8625A" w14:textId="77777777"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064B1F61"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F97422">
          <w:rPr>
            <w:noProof/>
            <w:webHidden/>
          </w:rPr>
          <w:t>4</w:t>
        </w:r>
        <w:r w:rsidR="00223C5F">
          <w:rPr>
            <w:noProof/>
            <w:webHidden/>
          </w:rPr>
          <w:fldChar w:fldCharType="end"/>
        </w:r>
      </w:hyperlink>
    </w:p>
    <w:p w14:paraId="283624B9" w14:textId="42DDF330" w:rsidR="00223C5F" w:rsidRDefault="000E1DA6">
      <w:pPr>
        <w:pStyle w:val="TableofFigures"/>
        <w:rPr>
          <w:rFonts w:eastAsiaTheme="minorEastAsia"/>
          <w:noProof/>
          <w:color w:val="auto"/>
          <w:kern w:val="0"/>
          <w:szCs w:val="22"/>
          <w:lang w:eastAsia="zh-CN"/>
        </w:rPr>
      </w:pPr>
      <w:hyperlink w:anchor="_Toc115792141" w:history="1">
        <w:r w:rsidR="00223C5F" w:rsidRPr="003519B2">
          <w:rPr>
            <w:rStyle w:val="Hyperlink"/>
            <w:noProof/>
          </w:rPr>
          <w:t>Table 2. Service levels: helpdesk</w:t>
        </w:r>
        <w:r w:rsidR="00223C5F">
          <w:rPr>
            <w:noProof/>
            <w:webHidden/>
          </w:rPr>
          <w:tab/>
        </w:r>
        <w:r w:rsidR="00223C5F">
          <w:rPr>
            <w:noProof/>
            <w:webHidden/>
          </w:rPr>
          <w:fldChar w:fldCharType="begin"/>
        </w:r>
        <w:r w:rsidR="00223C5F">
          <w:rPr>
            <w:noProof/>
            <w:webHidden/>
          </w:rPr>
          <w:instrText xml:space="preserve"> PAGEREF _Toc115792141 \h </w:instrText>
        </w:r>
        <w:r w:rsidR="00223C5F">
          <w:rPr>
            <w:noProof/>
            <w:webHidden/>
          </w:rPr>
        </w:r>
        <w:r w:rsidR="00223C5F">
          <w:rPr>
            <w:noProof/>
            <w:webHidden/>
          </w:rPr>
          <w:fldChar w:fldCharType="separate"/>
        </w:r>
        <w:r w:rsidR="00F97422">
          <w:rPr>
            <w:noProof/>
            <w:webHidden/>
          </w:rPr>
          <w:t>4</w:t>
        </w:r>
        <w:r w:rsidR="00223C5F">
          <w:rPr>
            <w:noProof/>
            <w:webHidden/>
          </w:rPr>
          <w:fldChar w:fldCharType="end"/>
        </w:r>
      </w:hyperlink>
    </w:p>
    <w:p w14:paraId="402B9031" w14:textId="5C9CC3B1" w:rsidR="00223C5F" w:rsidRDefault="000E1DA6">
      <w:pPr>
        <w:pStyle w:val="TableofFigures"/>
        <w:rPr>
          <w:rFonts w:eastAsiaTheme="minorEastAsia"/>
          <w:noProof/>
          <w:color w:val="auto"/>
          <w:kern w:val="0"/>
          <w:szCs w:val="22"/>
          <w:lang w:eastAsia="zh-CN"/>
        </w:rPr>
      </w:pPr>
      <w:hyperlink w:anchor="_Toc115792142" w:history="1">
        <w:r w:rsidR="00223C5F" w:rsidRPr="003519B2">
          <w:rPr>
            <w:rStyle w:val="Hyperlink"/>
            <w:noProof/>
          </w:rPr>
          <w:t>Table 3. Outbound call connections (by inbound service type)</w:t>
        </w:r>
        <w:r w:rsidR="00223C5F">
          <w:rPr>
            <w:noProof/>
            <w:webHidden/>
          </w:rPr>
          <w:tab/>
        </w:r>
        <w:r w:rsidR="00223C5F">
          <w:rPr>
            <w:noProof/>
            <w:webHidden/>
          </w:rPr>
          <w:fldChar w:fldCharType="begin"/>
        </w:r>
        <w:r w:rsidR="00223C5F">
          <w:rPr>
            <w:noProof/>
            <w:webHidden/>
          </w:rPr>
          <w:instrText xml:space="preserve"> PAGEREF _Toc115792142 \h </w:instrText>
        </w:r>
        <w:r w:rsidR="00223C5F">
          <w:rPr>
            <w:noProof/>
            <w:webHidden/>
          </w:rPr>
        </w:r>
        <w:r w:rsidR="00223C5F">
          <w:rPr>
            <w:noProof/>
            <w:webHidden/>
          </w:rPr>
          <w:fldChar w:fldCharType="separate"/>
        </w:r>
        <w:r w:rsidR="00F97422">
          <w:rPr>
            <w:noProof/>
            <w:webHidden/>
          </w:rPr>
          <w:t>5</w:t>
        </w:r>
        <w:r w:rsidR="00223C5F">
          <w:rPr>
            <w:noProof/>
            <w:webHidden/>
          </w:rPr>
          <w:fldChar w:fldCharType="end"/>
        </w:r>
      </w:hyperlink>
    </w:p>
    <w:p w14:paraId="62479079" w14:textId="61D8D97D" w:rsidR="00223C5F" w:rsidRDefault="000E1DA6">
      <w:pPr>
        <w:pStyle w:val="TableofFigures"/>
        <w:rPr>
          <w:rFonts w:eastAsiaTheme="minorEastAsia"/>
          <w:noProof/>
          <w:color w:val="auto"/>
          <w:kern w:val="0"/>
          <w:szCs w:val="22"/>
          <w:lang w:eastAsia="zh-CN"/>
        </w:rPr>
      </w:pPr>
      <w:hyperlink w:anchor="_Toc115792143" w:history="1">
        <w:r w:rsidR="00223C5F" w:rsidRPr="003519B2">
          <w:rPr>
            <w:rStyle w:val="Hyperlink"/>
            <w:noProof/>
          </w:rPr>
          <w:t>Table 4. Calls to emergency services</w:t>
        </w:r>
        <w:r w:rsidR="00223C5F">
          <w:rPr>
            <w:noProof/>
            <w:webHidden/>
          </w:rPr>
          <w:tab/>
        </w:r>
        <w:r w:rsidR="00223C5F">
          <w:rPr>
            <w:noProof/>
            <w:webHidden/>
          </w:rPr>
          <w:fldChar w:fldCharType="begin"/>
        </w:r>
        <w:r w:rsidR="00223C5F">
          <w:rPr>
            <w:noProof/>
            <w:webHidden/>
          </w:rPr>
          <w:instrText xml:space="preserve"> PAGEREF _Toc115792143 \h </w:instrText>
        </w:r>
        <w:r w:rsidR="00223C5F">
          <w:rPr>
            <w:noProof/>
            <w:webHidden/>
          </w:rPr>
        </w:r>
        <w:r w:rsidR="00223C5F">
          <w:rPr>
            <w:noProof/>
            <w:webHidden/>
          </w:rPr>
          <w:fldChar w:fldCharType="separate"/>
        </w:r>
        <w:r w:rsidR="00F97422">
          <w:rPr>
            <w:noProof/>
            <w:webHidden/>
          </w:rPr>
          <w:t>5</w:t>
        </w:r>
        <w:r w:rsidR="00223C5F">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18"/>
          <w:footerReference w:type="default" r:id="rId19"/>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183163746"/>
      <w:r w:rsidRPr="002860E0">
        <w:lastRenderedPageBreak/>
        <w:t>Background</w:t>
      </w:r>
      <w:bookmarkEnd w:id="0"/>
      <w:bookmarkEnd w:id="1"/>
      <w:bookmarkEnd w:id="2"/>
      <w:bookmarkEnd w:id="3"/>
      <w:bookmarkEnd w:id="4"/>
      <w:bookmarkEnd w:id="5"/>
    </w:p>
    <w:p w14:paraId="1B052E53" w14:textId="1CF6EB30"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183163747"/>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7.33 percent of emergency calls were answered in five seconds or less. 97.75 percent of emergency calls were answered in ten seconds or less. 2.34 percent of calls were abanonded. 86.12 percent of calls were answered in ten seconds or less. 83.34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733CAD96" w:rsidR="005C3B45" w:rsidRPr="008E534F" w:rsidRDefault="00AE103C"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October</w:t>
            </w:r>
            <w:r w:rsidR="008C3357">
              <w:rPr>
                <w:b/>
                <w:sz w:val="22"/>
                <w:szCs w:val="22"/>
              </w:rPr>
              <w:t xml:space="preserve"> </w:t>
            </w:r>
            <w:r w:rsidR="005C3B45">
              <w:rPr>
                <w:b/>
                <w:sz w:val="22"/>
                <w:szCs w:val="22"/>
              </w:rPr>
              <w:t>202</w:t>
            </w:r>
            <w:r w:rsidR="007010A5">
              <w:rPr>
                <w:b/>
                <w:sz w:val="22"/>
                <w:szCs w:val="22"/>
              </w:rPr>
              <w:t>4</w:t>
            </w:r>
          </w:p>
        </w:tc>
      </w:tr>
      <w:tr w:rsidR="005C3B45" w:rsidRPr="00654F9E" w14:paraId="32029777"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2F6F2D4E" w:rsidR="005C3B45" w:rsidRPr="00EA5EED"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t>9</w:t>
            </w:r>
            <w:r w:rsidR="0098113D">
              <w:t>7.33</w:t>
            </w:r>
            <w:r w:rsidR="005C3B45">
              <w:t>%</w:t>
            </w:r>
          </w:p>
        </w:tc>
      </w:tr>
      <w:tr w:rsidR="005C3B45" w:rsidRPr="00654F9E" w14:paraId="2707A88B"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tcPr>
          <w:p w14:paraId="1FCA1801" w14:textId="6F63658B" w:rsidR="005C3B45" w:rsidRPr="00EA5EED"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pPr>
            <w:r>
              <w:t>9</w:t>
            </w:r>
            <w:r w:rsidR="0098113D">
              <w:t>7.75</w:t>
            </w:r>
            <w:r>
              <w:t>%</w:t>
            </w:r>
          </w:p>
        </w:tc>
      </w:tr>
      <w:tr w:rsidR="005C3B45" w:rsidRPr="00654F9E" w14:paraId="2FEEC908"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791AD474" w:rsidR="005C3B45" w:rsidRPr="00EA5EED" w:rsidRDefault="0098113D" w:rsidP="005C3B45">
            <w:pPr>
              <w:pStyle w:val="Tabletext"/>
              <w:jc w:val="center"/>
              <w:cnfStyle w:val="000000000000" w:firstRow="0" w:lastRow="0" w:firstColumn="0" w:lastColumn="0" w:oddVBand="0" w:evenVBand="0" w:oddHBand="0" w:evenHBand="0" w:firstRowFirstColumn="0" w:firstRowLastColumn="0" w:lastRowFirstColumn="0" w:lastRowLastColumn="0"/>
            </w:pPr>
            <w:r>
              <w:t>2.34</w:t>
            </w:r>
            <w:r w:rsidR="005C3B45">
              <w:t>%</w:t>
            </w:r>
          </w:p>
        </w:tc>
      </w:tr>
      <w:tr w:rsidR="005C3B45" w:rsidRPr="00654F9E" w14:paraId="6F8DE161" w14:textId="77777777" w:rsidTr="005C3B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tcPr>
          <w:p w14:paraId="159E28BF" w14:textId="7CE93A84" w:rsidR="005C3B45" w:rsidRPr="00EA5EED" w:rsidRDefault="00F23026" w:rsidP="005C3B45">
            <w:pPr>
              <w:pStyle w:val="Tabletext"/>
              <w:jc w:val="center"/>
              <w:cnfStyle w:val="000000010000" w:firstRow="0" w:lastRow="0" w:firstColumn="0" w:lastColumn="0" w:oddVBand="0" w:evenVBand="0" w:oddHBand="0" w:evenHBand="1" w:firstRowFirstColumn="0" w:firstRowLastColumn="0" w:lastRowFirstColumn="0" w:lastRowLastColumn="0"/>
            </w:pPr>
            <w:r>
              <w:t>8</w:t>
            </w:r>
            <w:r w:rsidR="0098113D">
              <w:t>6.12</w:t>
            </w:r>
            <w:r w:rsidR="005C3B45" w:rsidRPr="0064088C">
              <w:t>%</w:t>
            </w:r>
          </w:p>
        </w:tc>
      </w:tr>
      <w:tr w:rsidR="005C3B45" w:rsidRPr="00654F9E" w14:paraId="7742831D" w14:textId="77777777" w:rsidTr="005C3B45">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6C64ACFB" w:rsidR="005C3B45" w:rsidRPr="00EA5EED" w:rsidRDefault="0098113D" w:rsidP="005C3B45">
            <w:pPr>
              <w:pStyle w:val="Tabletext"/>
              <w:jc w:val="center"/>
              <w:cnfStyle w:val="000000000000" w:firstRow="0" w:lastRow="0" w:firstColumn="0" w:lastColumn="0" w:oddVBand="0" w:evenVBand="0" w:oddHBand="0" w:evenHBand="0" w:firstRowFirstColumn="0" w:firstRowLastColumn="0" w:lastRowFirstColumn="0" w:lastRowLastColumn="0"/>
            </w:pPr>
            <w:r>
              <w:t>83.34</w:t>
            </w:r>
            <w:r w:rsidR="005C3B45">
              <w:t>%</w:t>
            </w:r>
          </w:p>
        </w:tc>
      </w:tr>
    </w:tbl>
    <w:p w14:paraId="4DACECAA" w14:textId="77777777" w:rsidR="005C3B45" w:rsidRPr="002860E0" w:rsidRDefault="005C3B45" w:rsidP="005C3B45">
      <w:pPr>
        <w:pStyle w:val="Heading2"/>
      </w:pPr>
      <w:bookmarkStart w:id="13" w:name="_Toc78291573"/>
      <w:bookmarkStart w:id="14" w:name="_Toc183163748"/>
      <w:r w:rsidRPr="002860E0">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8.13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99.92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1A1E33D7" w:rsidR="005C3B45" w:rsidRPr="008E534F" w:rsidRDefault="00D43D65"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October</w:t>
            </w:r>
            <w:r w:rsidR="007010A5">
              <w:rPr>
                <w:b/>
                <w:sz w:val="22"/>
                <w:szCs w:val="22"/>
              </w:rPr>
              <w:t xml:space="preserve"> 2024</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25FEFD4B" w:rsidR="005C3B45" w:rsidRPr="00F7301E" w:rsidRDefault="005076ED" w:rsidP="005C3B45">
            <w:pPr>
              <w:pStyle w:val="Tabletext"/>
              <w:jc w:val="center"/>
              <w:cnfStyle w:val="000000000000" w:firstRow="0" w:lastRow="0" w:firstColumn="0" w:lastColumn="0" w:oddVBand="0" w:evenVBand="0" w:oddHBand="0" w:evenHBand="0" w:firstRowFirstColumn="0" w:firstRowLastColumn="0" w:lastRowFirstColumn="0" w:lastRowLastColumn="0"/>
            </w:pPr>
            <w:r>
              <w:t>9</w:t>
            </w:r>
            <w:r w:rsidR="0098113D">
              <w:t>8</w:t>
            </w:r>
            <w:r w:rsidR="008F6B94">
              <w:t>.</w:t>
            </w:r>
            <w:r w:rsidR="0098113D">
              <w:t>13</w:t>
            </w:r>
            <w:r w:rsidR="005C3B45">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Accesshub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7228F948" w:rsidR="005C3B45" w:rsidRPr="00833513" w:rsidRDefault="00F23026" w:rsidP="005C3B45">
            <w:pPr>
              <w:pStyle w:val="Tabletext"/>
              <w:jc w:val="center"/>
              <w:cnfStyle w:val="000000010000" w:firstRow="0" w:lastRow="0" w:firstColumn="0" w:lastColumn="0" w:oddVBand="0" w:evenVBand="0" w:oddHBand="0" w:evenHBand="1" w:firstRowFirstColumn="0" w:firstRowLastColumn="0" w:lastRowFirstColumn="0" w:lastRowLastColumn="0"/>
            </w:pPr>
            <w:r>
              <w:t>100</w:t>
            </w:r>
            <w:r w:rsidR="005C3B45" w:rsidRPr="00833513">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833513"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t>100</w:t>
            </w:r>
            <w:r w:rsidR="005C3B45" w:rsidRPr="00833513">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77777777" w:rsidR="005C3B45" w:rsidRPr="00833513"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833513">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843BB73" w:rsidR="00C0244B" w:rsidRPr="00833513" w:rsidRDefault="00C0244B" w:rsidP="005C3B45">
            <w:pPr>
              <w:pStyle w:val="Tabletext"/>
              <w:jc w:val="center"/>
              <w:cnfStyle w:val="000000000000" w:firstRow="0" w:lastRow="0" w:firstColumn="0" w:lastColumn="0" w:oddVBand="0" w:evenVBand="0" w:oddHBand="0" w:evenHBand="0" w:firstRowFirstColumn="0" w:firstRowLastColumn="0" w:lastRowFirstColumn="0" w:lastRowLastColumn="0"/>
            </w:pPr>
            <w:r>
              <w:t>99.92%</w:t>
            </w:r>
          </w:p>
        </w:tc>
      </w:tr>
    </w:tbl>
    <w:p w14:paraId="3B8B1B22" w14:textId="77777777" w:rsidR="005C3B45" w:rsidRDefault="005C3B45" w:rsidP="005C3B45">
      <w:pPr>
        <w:spacing w:line="259" w:lineRule="auto"/>
      </w:pPr>
      <w:r>
        <w:br w:type="page"/>
      </w:r>
    </w:p>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183163749"/>
      <w:r w:rsidRPr="002860E0">
        <w:lastRenderedPageBreak/>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20 calls, national relay service SMS, 3335 calls, national relay service chat, 3200 calls, national relay service chat app, 3317, voice relay, 179 calls, video relay, 4096 calls, national relay service tele type writer, 859 calls, total calls, 15006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6B7CB689" w:rsidR="005C3B45" w:rsidRPr="002860E0" w:rsidRDefault="00C0244B" w:rsidP="005C3B45">
            <w:pPr>
              <w:pStyle w:val="Tabletextcentred0"/>
              <w:cnfStyle w:val="000000000000" w:firstRow="0" w:lastRow="0" w:firstColumn="0" w:lastColumn="0" w:oddVBand="0" w:evenVBand="0" w:oddHBand="0" w:evenHBand="0" w:firstRowFirstColumn="0" w:firstRowLastColumn="0" w:lastRowFirstColumn="0" w:lastRowLastColumn="0"/>
            </w:pPr>
            <w:r>
              <w:t>20</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3447D840" w:rsidR="005C3B45" w:rsidRPr="006F5764" w:rsidRDefault="00C0244B" w:rsidP="005C3B45">
            <w:pPr>
              <w:pStyle w:val="Tabletextcentred0"/>
              <w:cnfStyle w:val="000000010000" w:firstRow="0" w:lastRow="0" w:firstColumn="0" w:lastColumn="0" w:oddVBand="0" w:evenVBand="0" w:oddHBand="0" w:evenHBand="1" w:firstRowFirstColumn="0" w:firstRowLastColumn="0" w:lastRowFirstColumn="0" w:lastRowLastColumn="0"/>
            </w:pPr>
            <w:r>
              <w:t>3</w:t>
            </w:r>
            <w:r w:rsidR="00F23026">
              <w:t>,</w:t>
            </w:r>
            <w:r>
              <w:t>335</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40284F7D" w:rsidR="005C3B45" w:rsidRPr="002860E0" w:rsidRDefault="00C0244B" w:rsidP="005C3B45">
            <w:pPr>
              <w:pStyle w:val="Tabletextcentred0"/>
              <w:cnfStyle w:val="000000000000" w:firstRow="0" w:lastRow="0" w:firstColumn="0" w:lastColumn="0" w:oddVBand="0" w:evenVBand="0" w:oddHBand="0" w:evenHBand="0" w:firstRowFirstColumn="0" w:firstRowLastColumn="0" w:lastRowFirstColumn="0" w:lastRowLastColumn="0"/>
            </w:pPr>
            <w:r>
              <w:t>3</w:t>
            </w:r>
            <w:r w:rsidR="00F23026">
              <w:t>,</w:t>
            </w:r>
            <w:r>
              <w:t>200</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2491BF5E" w:rsidR="005C3B45" w:rsidRDefault="00C0244B" w:rsidP="005C3B45">
            <w:pPr>
              <w:pStyle w:val="Tabletextcentred0"/>
              <w:cnfStyle w:val="000000010000" w:firstRow="0" w:lastRow="0" w:firstColumn="0" w:lastColumn="0" w:oddVBand="0" w:evenVBand="0" w:oddHBand="0" w:evenHBand="1" w:firstRowFirstColumn="0" w:firstRowLastColumn="0" w:lastRowFirstColumn="0" w:lastRowLastColumn="0"/>
            </w:pPr>
            <w:r>
              <w:t>3</w:t>
            </w:r>
            <w:r w:rsidR="00F23026">
              <w:t>,</w:t>
            </w:r>
            <w:r>
              <w:t>317</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1709868D" w:rsidR="005C3B45" w:rsidRPr="002860E0" w:rsidRDefault="00975535" w:rsidP="005C3B45">
            <w:pPr>
              <w:pStyle w:val="Tabletextcentred0"/>
              <w:cnfStyle w:val="000000000000" w:firstRow="0" w:lastRow="0" w:firstColumn="0" w:lastColumn="0" w:oddVBand="0" w:evenVBand="0" w:oddHBand="0" w:evenHBand="0" w:firstRowFirstColumn="0" w:firstRowLastColumn="0" w:lastRowFirstColumn="0" w:lastRowLastColumn="0"/>
            </w:pPr>
            <w:r>
              <w:t>1</w:t>
            </w:r>
            <w:r w:rsidR="00C0244B">
              <w:t>79</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71D9686A" w:rsidR="005C3B45" w:rsidRPr="002860E0" w:rsidRDefault="008F6B94" w:rsidP="005C3B45">
            <w:pPr>
              <w:pStyle w:val="Tabletextcentred0"/>
              <w:cnfStyle w:val="000000010000" w:firstRow="0" w:lastRow="0" w:firstColumn="0" w:lastColumn="0" w:oddVBand="0" w:evenVBand="0" w:oddHBand="0" w:evenHBand="1" w:firstRowFirstColumn="0" w:firstRowLastColumn="0" w:lastRowFirstColumn="0" w:lastRowLastColumn="0"/>
            </w:pPr>
            <w:r>
              <w:t>4,</w:t>
            </w:r>
            <w:r w:rsidR="00C0244B">
              <w:t>096</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35A3B687" w:rsidR="005C3B45" w:rsidRPr="002860E0" w:rsidRDefault="00975535" w:rsidP="005C3B45">
            <w:pPr>
              <w:pStyle w:val="Tabletextcentred0"/>
              <w:cnfStyle w:val="000000000000" w:firstRow="0" w:lastRow="0" w:firstColumn="0" w:lastColumn="0" w:oddVBand="0" w:evenVBand="0" w:oddHBand="0" w:evenHBand="0" w:firstRowFirstColumn="0" w:firstRowLastColumn="0" w:lastRowFirstColumn="0" w:lastRowLastColumn="0"/>
            </w:pPr>
            <w:r>
              <w:t>8</w:t>
            </w:r>
            <w:r w:rsidR="00C0244B">
              <w:t>59</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747A8322" w:rsidR="005C3B45" w:rsidRPr="004F73D6" w:rsidRDefault="006F091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t>1</w:t>
            </w:r>
            <w:r w:rsidR="00C0244B">
              <w:t>5</w:t>
            </w:r>
            <w:r w:rsidR="00F23026">
              <w:t>,</w:t>
            </w:r>
            <w:r w:rsidR="00C0244B">
              <w:t>006</w:t>
            </w:r>
          </w:p>
        </w:tc>
      </w:tr>
    </w:tbl>
    <w:p w14:paraId="69B99A6C" w14:textId="77777777" w:rsidR="005C3B45" w:rsidRPr="002860E0" w:rsidRDefault="005C3B45" w:rsidP="005C3B45">
      <w:pPr>
        <w:pStyle w:val="Heading2"/>
      </w:pPr>
      <w:bookmarkStart w:id="24" w:name="_Toc16692215"/>
      <w:bookmarkStart w:id="25" w:name="_Toc17109636"/>
      <w:bookmarkStart w:id="26" w:name="_Toc24362771"/>
      <w:bookmarkStart w:id="27" w:name="_Toc78291575"/>
      <w:bookmarkStart w:id="28" w:name="_Toc183163750"/>
      <w:r w:rsidRPr="002860E0">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29 calls, national relay service chat, 48 calls, voice relay, 7 calls, video relay, 1 calls, national relay service tele type writer, 3 calls, total calls, 88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7590617E" w:rsidR="005C3B45" w:rsidRPr="00757A70" w:rsidRDefault="0058620A"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lang w:eastAsia="en-AU"/>
              </w:rPr>
            </w:pPr>
            <w:r>
              <w:rPr>
                <w:lang w:eastAsia="en-AU"/>
              </w:rPr>
              <w:t>0</w:t>
            </w:r>
          </w:p>
        </w:tc>
      </w:tr>
      <w:tr w:rsidR="005C3B45" w:rsidRPr="00654F9E" w14:paraId="0456C22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tcPr>
          <w:p w14:paraId="07C0A3C0" w14:textId="670808D1" w:rsidR="005C3B45" w:rsidRPr="00757A70" w:rsidRDefault="00310CE5"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Pr>
                <w:lang w:eastAsia="en-AU"/>
              </w:rPr>
              <w:t>29</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7230D162" w:rsidR="005C3B45" w:rsidRPr="00757A70" w:rsidRDefault="00F55BFE"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Pr>
                <w:lang w:eastAsia="en-AU"/>
              </w:rPr>
              <w:t>4</w:t>
            </w:r>
            <w:r w:rsidR="00310CE5">
              <w:rPr>
                <w:lang w:eastAsia="en-AU"/>
              </w:rPr>
              <w:t>8</w:t>
            </w:r>
          </w:p>
        </w:tc>
      </w:tr>
      <w:tr w:rsidR="005C3B45" w:rsidRPr="00654F9E" w14:paraId="35FAC2D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tcPr>
          <w:p w14:paraId="23EC2957" w14:textId="5BFB1264" w:rsidR="005C3B45" w:rsidRPr="00757A70" w:rsidRDefault="00310CE5"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Pr>
                <w:lang w:eastAsia="en-AU"/>
              </w:rPr>
              <w:t>7</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5D950EFA" w:rsidR="005C3B45" w:rsidRPr="00757A70" w:rsidRDefault="00310CE5"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Pr>
                <w:lang w:eastAsia="en-AU"/>
              </w:rPr>
              <w:t>1</w:t>
            </w:r>
          </w:p>
        </w:tc>
      </w:tr>
      <w:tr w:rsidR="005C3B45" w:rsidRPr="00654F9E" w14:paraId="26EB9034"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tcPr>
          <w:p w14:paraId="57CE7857" w14:textId="71CA445F" w:rsidR="005C3B45" w:rsidRPr="006F5764" w:rsidRDefault="00F55BFE"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Pr>
                <w:lang w:eastAsia="en-AU"/>
              </w:rPr>
              <w:t>3</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220A220F" w:rsidR="005C3B45" w:rsidRPr="007D2AA7" w:rsidRDefault="00310CE5"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t>8</w:t>
            </w:r>
            <w:r w:rsidR="006C1740">
              <w:t>8</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183163751"/>
      <w:r w:rsidRPr="00052048">
        <w:t>Helpdesk enquiries</w:t>
      </w:r>
      <w:bookmarkEnd w:id="31"/>
      <w:bookmarkEnd w:id="32"/>
      <w:bookmarkEnd w:id="33"/>
      <w:bookmarkEnd w:id="34"/>
      <w:bookmarkEnd w:id="35"/>
    </w:p>
    <w:p w14:paraId="04275AA2" w14:textId="673E4A7A" w:rsidR="005C3B45" w:rsidRDefault="005C3B45" w:rsidP="005C3B45">
      <w:r w:rsidRPr="00480B43">
        <w:t xml:space="preserve">The Helpdesk received </w:t>
      </w:r>
      <w:r w:rsidR="00310CE5">
        <w:t>667</w:t>
      </w:r>
      <w:r w:rsidRPr="00480B43">
        <w:t xml:space="preserve"> genuine enquiries for </w:t>
      </w:r>
      <w:r w:rsidR="00310CE5">
        <w:t>October</w:t>
      </w:r>
      <w:r w:rsidR="00226FF5">
        <w:t xml:space="preserve"> </w:t>
      </w:r>
      <w:r w:rsidR="00275B78">
        <w:t>202</w:t>
      </w:r>
      <w:r w:rsidR="007010A5">
        <w:t>4</w:t>
      </w:r>
      <w:r w:rsidRPr="00480B43">
        <w:t xml:space="preserve">, including </w:t>
      </w:r>
      <w:r w:rsidR="00310CE5">
        <w:t>13</w:t>
      </w:r>
      <w:r w:rsidRPr="00480B43">
        <w:t xml:space="preserve"> complaints.</w:t>
      </w:r>
    </w:p>
    <w:p w14:paraId="5BBC1877" w14:textId="60B39C13" w:rsidR="002F40F5" w:rsidRDefault="002F40F5" w:rsidP="002F40F5">
      <w:pPr>
        <w:pStyle w:val="Heading2"/>
      </w:pPr>
      <w:bookmarkStart w:id="36" w:name="_Toc183163752"/>
      <w:r>
        <w:t>Community Engagement Function</w:t>
      </w:r>
      <w:bookmarkEnd w:id="36"/>
    </w:p>
    <w:p w14:paraId="6577688E" w14:textId="2B6A3EAA" w:rsidR="002F40F5" w:rsidRPr="00140D4E" w:rsidRDefault="00902A1D" w:rsidP="002F40F5">
      <w:pPr>
        <w:rPr>
          <w:rFonts w:eastAsia="Times New Roman"/>
        </w:rPr>
      </w:pPr>
      <w:r>
        <w:rPr>
          <w:rFonts w:eastAsia="Times New Roman"/>
        </w:rPr>
        <w:t>Concentrix undertook significant c</w:t>
      </w:r>
      <w:r w:rsidR="002F40F5" w:rsidRPr="00140D4E">
        <w:rPr>
          <w:rFonts w:eastAsia="Times New Roman"/>
        </w:rPr>
        <w:t xml:space="preserve">ommunity </w:t>
      </w:r>
      <w:r>
        <w:rPr>
          <w:rFonts w:eastAsia="Times New Roman"/>
        </w:rPr>
        <w:t>e</w:t>
      </w:r>
      <w:r w:rsidR="002F40F5" w:rsidRPr="00140D4E">
        <w:rPr>
          <w:rFonts w:eastAsia="Times New Roman"/>
        </w:rPr>
        <w:t>ngagement</w:t>
      </w:r>
      <w:r>
        <w:rPr>
          <w:rFonts w:eastAsia="Times New Roman"/>
        </w:rPr>
        <w:t xml:space="preserve"> throughout October, </w:t>
      </w:r>
      <w:bookmarkStart w:id="37" w:name="_GoBack"/>
      <w:bookmarkEnd w:id="37"/>
      <w:r w:rsidR="002F40F5" w:rsidRPr="00140D4E">
        <w:rPr>
          <w:rFonts w:eastAsia="Times New Roman"/>
        </w:rPr>
        <w:t xml:space="preserve">engaging with various sectors </w:t>
      </w:r>
      <w:r>
        <w:rPr>
          <w:rFonts w:eastAsia="Times New Roman"/>
        </w:rPr>
        <w:t xml:space="preserve">and stakeholders </w:t>
      </w:r>
      <w:r w:rsidR="002F40F5" w:rsidRPr="00140D4E">
        <w:rPr>
          <w:rFonts w:eastAsia="Times New Roman"/>
        </w:rPr>
        <w:t>including Services Australia, Deaf Connect, Westpac and Lifeline. The NRS eLearning module has been rolled out to employees of several companies, including Optus, Services Australia and Belong.</w:t>
      </w:r>
    </w:p>
    <w:p w14:paraId="2AEEC234" w14:textId="325E0A0D" w:rsidR="002F40F5" w:rsidRDefault="002F40F5" w:rsidP="002F40F5">
      <w:pPr>
        <w:pStyle w:val="Heading2"/>
      </w:pPr>
      <w:bookmarkStart w:id="38" w:name="_Toc183163753"/>
      <w:r>
        <w:t>User Assistance Function</w:t>
      </w:r>
      <w:bookmarkEnd w:id="38"/>
    </w:p>
    <w:p w14:paraId="5CB457E5" w14:textId="44C60486" w:rsidR="002F40F5" w:rsidRPr="00140D4E" w:rsidRDefault="00902A1D" w:rsidP="002F40F5">
      <w:r>
        <w:rPr>
          <w:rFonts w:eastAsia="Times New Roman"/>
        </w:rPr>
        <w:t>Work is</w:t>
      </w:r>
      <w:r w:rsidR="002F40F5" w:rsidRPr="00140D4E">
        <w:rPr>
          <w:rFonts w:eastAsia="Times New Roman"/>
        </w:rPr>
        <w:t xml:space="preserve"> currently under development as </w:t>
      </w:r>
      <w:r>
        <w:rPr>
          <w:rFonts w:eastAsia="Times New Roman"/>
        </w:rPr>
        <w:t xml:space="preserve">to the introduction of the first element of the </w:t>
      </w:r>
      <w:r w:rsidR="002F40F5" w:rsidRPr="00140D4E">
        <w:rPr>
          <w:rFonts w:eastAsia="Times New Roman"/>
        </w:rPr>
        <w:t>User Assistance Function</w:t>
      </w:r>
      <w:r>
        <w:rPr>
          <w:rFonts w:eastAsia="Times New Roman"/>
        </w:rPr>
        <w:t>, a new element to the NRS introduced as part of the current contract, with the Department and Concentrix meeting to discuss. More information will be made available in due course.</w:t>
      </w:r>
    </w:p>
    <w:sectPr w:rsidR="002F40F5" w:rsidRPr="00140D4E" w:rsidSect="00223C5F">
      <w:headerReference w:type="first" r:id="rId20"/>
      <w:footerReference w:type="first" r:id="rId21"/>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51CF4" w14:textId="77777777" w:rsidR="007026D4" w:rsidRDefault="007026D4" w:rsidP="00FC413F">
      <w:pPr>
        <w:spacing w:after="0"/>
      </w:pPr>
      <w:r>
        <w:separator/>
      </w:r>
    </w:p>
  </w:endnote>
  <w:endnote w:type="continuationSeparator" w:id="0">
    <w:p w14:paraId="4E349967" w14:textId="77777777" w:rsidR="007026D4" w:rsidRDefault="007026D4"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D6D9" w14:textId="321C7956"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F97422">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8868" w14:textId="77777777" w:rsidR="007026D4" w:rsidRPr="00FC413F" w:rsidRDefault="007026D4" w:rsidP="00113A03">
    <w:pPr>
      <w:pStyle w:val="Footer"/>
      <w:tabs>
        <w:tab w:val="clear" w:pos="4513"/>
        <w:tab w:val="clear" w:pos="9026"/>
      </w:tabs>
      <w:ind w:left="-1418"/>
      <w:rPr>
        <w:rFonts w:cs="Segoe UI"/>
        <w:szCs w:val="18"/>
      </w:rPr>
    </w:pPr>
    <w:r>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AA35" w14:textId="48775359" w:rsidR="007026D4" w:rsidRDefault="007026D4"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E1DA6">
      <w:rPr>
        <w:rFonts w:cs="Segoe UI"/>
        <w:noProof/>
        <w:szCs w:val="18"/>
      </w:rPr>
      <w:t>National Relay Service—Monthly Performance Report</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6AE7" w14:textId="77777777" w:rsidR="00223C5F" w:rsidRPr="00FC413F" w:rsidRDefault="00223C5F" w:rsidP="00113A03">
    <w:pPr>
      <w:pStyle w:val="Footer"/>
      <w:tabs>
        <w:tab w:val="clear" w:pos="4513"/>
        <w:tab w:val="clear" w:pos="9026"/>
      </w:tabs>
      <w:ind w:left="-1418"/>
      <w:rPr>
        <w:rFonts w:cs="Segoe U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BDB2F" w14:textId="77777777" w:rsidR="007026D4" w:rsidRDefault="007026D4" w:rsidP="00FC413F">
      <w:pPr>
        <w:spacing w:after="0"/>
      </w:pPr>
      <w:r>
        <w:separator/>
      </w:r>
    </w:p>
  </w:footnote>
  <w:footnote w:type="continuationSeparator" w:id="0">
    <w:p w14:paraId="22448DEA" w14:textId="77777777" w:rsidR="007026D4" w:rsidRDefault="007026D4"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96E0" w14:textId="2822E616" w:rsidR="007026D4" w:rsidRPr="00D56936" w:rsidRDefault="007026D4" w:rsidP="00D56936">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F97422">
      <w:rPr>
        <w:rFonts w:cs="Segoe UI Light"/>
        <w:noProof/>
        <w:color w:val="001C40"/>
        <w:sz w:val="20"/>
        <w:szCs w:val="20"/>
      </w:rPr>
      <w:t>Background</w:t>
    </w:r>
    <w:r w:rsidRPr="00D56936">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C07" w14:textId="326A24E5" w:rsidR="00223C5F" w:rsidRPr="00D56936" w:rsidRDefault="00223C5F" w:rsidP="00D56936">
    <w:pPr>
      <w:pStyle w:val="Header"/>
      <w:tabs>
        <w:tab w:val="clear" w:pos="4678"/>
      </w:tabs>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0E1DA6">
      <w:rPr>
        <w:rFonts w:cs="Segoe UI Light"/>
        <w:noProof/>
        <w:color w:val="001C40"/>
        <w:sz w:val="20"/>
        <w:szCs w:val="20"/>
      </w:rPr>
      <w:t>List of figures and tables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9774" w14:textId="0F8A45E1" w:rsidR="00223C5F" w:rsidRPr="00D56936" w:rsidRDefault="00223C5F" w:rsidP="00223C5F">
    <w:pPr>
      <w:pStyle w:val="Header"/>
      <w:tabs>
        <w:tab w:val="clear" w:pos="4678"/>
      </w:tabs>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0E1DA6">
      <w:rPr>
        <w:rFonts w:cs="Segoe UI Light"/>
        <w:noProof/>
        <w:color w:val="001C40"/>
        <w:sz w:val="20"/>
        <w:szCs w:val="20"/>
      </w:rPr>
      <w:t>Background</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12D3A"/>
    <w:rsid w:val="0003502E"/>
    <w:rsid w:val="000522EB"/>
    <w:rsid w:val="00072195"/>
    <w:rsid w:val="000740FB"/>
    <w:rsid w:val="00074A49"/>
    <w:rsid w:val="00087B9F"/>
    <w:rsid w:val="00090E62"/>
    <w:rsid w:val="000A4AF0"/>
    <w:rsid w:val="000B1E86"/>
    <w:rsid w:val="000C0244"/>
    <w:rsid w:val="000C15A7"/>
    <w:rsid w:val="000C6A5D"/>
    <w:rsid w:val="000D4B3B"/>
    <w:rsid w:val="000D791A"/>
    <w:rsid w:val="000E1DA6"/>
    <w:rsid w:val="000E29BE"/>
    <w:rsid w:val="00105DA4"/>
    <w:rsid w:val="00113A03"/>
    <w:rsid w:val="00133A45"/>
    <w:rsid w:val="00140D4E"/>
    <w:rsid w:val="00143894"/>
    <w:rsid w:val="00150C51"/>
    <w:rsid w:val="00185B6A"/>
    <w:rsid w:val="00190A0C"/>
    <w:rsid w:val="001D583B"/>
    <w:rsid w:val="001E0725"/>
    <w:rsid w:val="001E4471"/>
    <w:rsid w:val="001E7AC4"/>
    <w:rsid w:val="00204A64"/>
    <w:rsid w:val="00217C11"/>
    <w:rsid w:val="00223C5F"/>
    <w:rsid w:val="00226FF5"/>
    <w:rsid w:val="00236F1B"/>
    <w:rsid w:val="00247B9C"/>
    <w:rsid w:val="00261FFA"/>
    <w:rsid w:val="00272982"/>
    <w:rsid w:val="00275B78"/>
    <w:rsid w:val="00287C7E"/>
    <w:rsid w:val="002A5AB5"/>
    <w:rsid w:val="002F1A23"/>
    <w:rsid w:val="002F40F5"/>
    <w:rsid w:val="00300077"/>
    <w:rsid w:val="003022A8"/>
    <w:rsid w:val="00310148"/>
    <w:rsid w:val="00310CE5"/>
    <w:rsid w:val="0031242E"/>
    <w:rsid w:val="00323710"/>
    <w:rsid w:val="00342348"/>
    <w:rsid w:val="003508A8"/>
    <w:rsid w:val="003536A9"/>
    <w:rsid w:val="00357203"/>
    <w:rsid w:val="00381BDA"/>
    <w:rsid w:val="003B6D01"/>
    <w:rsid w:val="003C575A"/>
    <w:rsid w:val="003D71C5"/>
    <w:rsid w:val="003F3CB7"/>
    <w:rsid w:val="0040705A"/>
    <w:rsid w:val="00416734"/>
    <w:rsid w:val="00445017"/>
    <w:rsid w:val="004460C3"/>
    <w:rsid w:val="00463255"/>
    <w:rsid w:val="0046435A"/>
    <w:rsid w:val="004729CA"/>
    <w:rsid w:val="004A3207"/>
    <w:rsid w:val="004B0ADA"/>
    <w:rsid w:val="004B47B3"/>
    <w:rsid w:val="004D1D5B"/>
    <w:rsid w:val="004F274A"/>
    <w:rsid w:val="00501EA8"/>
    <w:rsid w:val="005076ED"/>
    <w:rsid w:val="00521544"/>
    <w:rsid w:val="00536D41"/>
    <w:rsid w:val="005413E7"/>
    <w:rsid w:val="0056341D"/>
    <w:rsid w:val="0058620A"/>
    <w:rsid w:val="00592508"/>
    <w:rsid w:val="005941FC"/>
    <w:rsid w:val="005C0459"/>
    <w:rsid w:val="005C37D2"/>
    <w:rsid w:val="005C3B45"/>
    <w:rsid w:val="005D038B"/>
    <w:rsid w:val="005E55BD"/>
    <w:rsid w:val="005F14AD"/>
    <w:rsid w:val="00604755"/>
    <w:rsid w:val="00610225"/>
    <w:rsid w:val="00625718"/>
    <w:rsid w:val="00627E0A"/>
    <w:rsid w:val="00630D43"/>
    <w:rsid w:val="0064088C"/>
    <w:rsid w:val="006452B1"/>
    <w:rsid w:val="006542FA"/>
    <w:rsid w:val="00654F9E"/>
    <w:rsid w:val="00670726"/>
    <w:rsid w:val="00670C59"/>
    <w:rsid w:val="00691FA2"/>
    <w:rsid w:val="006C1740"/>
    <w:rsid w:val="006D43C7"/>
    <w:rsid w:val="006E139E"/>
    <w:rsid w:val="006E5952"/>
    <w:rsid w:val="006F0919"/>
    <w:rsid w:val="006F1582"/>
    <w:rsid w:val="007010A5"/>
    <w:rsid w:val="007026D4"/>
    <w:rsid w:val="0071419C"/>
    <w:rsid w:val="00731351"/>
    <w:rsid w:val="00744CD2"/>
    <w:rsid w:val="00772C27"/>
    <w:rsid w:val="00790F25"/>
    <w:rsid w:val="007915AA"/>
    <w:rsid w:val="00793843"/>
    <w:rsid w:val="0079788A"/>
    <w:rsid w:val="007A62C1"/>
    <w:rsid w:val="007B68AB"/>
    <w:rsid w:val="007D3D34"/>
    <w:rsid w:val="0081439F"/>
    <w:rsid w:val="00822DBF"/>
    <w:rsid w:val="0085317C"/>
    <w:rsid w:val="008A7B93"/>
    <w:rsid w:val="008B7158"/>
    <w:rsid w:val="008C3357"/>
    <w:rsid w:val="008D4156"/>
    <w:rsid w:val="008E534F"/>
    <w:rsid w:val="008F24DE"/>
    <w:rsid w:val="008F6B94"/>
    <w:rsid w:val="00902A1D"/>
    <w:rsid w:val="00910DC6"/>
    <w:rsid w:val="00912D17"/>
    <w:rsid w:val="009131C0"/>
    <w:rsid w:val="009170B5"/>
    <w:rsid w:val="009276A3"/>
    <w:rsid w:val="009279AE"/>
    <w:rsid w:val="0093410C"/>
    <w:rsid w:val="00935A30"/>
    <w:rsid w:val="00944067"/>
    <w:rsid w:val="00953CCD"/>
    <w:rsid w:val="00975535"/>
    <w:rsid w:val="0098113D"/>
    <w:rsid w:val="00985DD5"/>
    <w:rsid w:val="009947D8"/>
    <w:rsid w:val="009B1C57"/>
    <w:rsid w:val="009C1ECD"/>
    <w:rsid w:val="009C5045"/>
    <w:rsid w:val="009E5B72"/>
    <w:rsid w:val="009F4CBA"/>
    <w:rsid w:val="009F70B0"/>
    <w:rsid w:val="00A24200"/>
    <w:rsid w:val="00A32707"/>
    <w:rsid w:val="00A32D82"/>
    <w:rsid w:val="00A44E4B"/>
    <w:rsid w:val="00A4759C"/>
    <w:rsid w:val="00A5600C"/>
    <w:rsid w:val="00A63390"/>
    <w:rsid w:val="00A82DAF"/>
    <w:rsid w:val="00A86AF3"/>
    <w:rsid w:val="00AC6195"/>
    <w:rsid w:val="00AD215F"/>
    <w:rsid w:val="00AE103C"/>
    <w:rsid w:val="00AE4C26"/>
    <w:rsid w:val="00AE61A6"/>
    <w:rsid w:val="00B041CB"/>
    <w:rsid w:val="00B12C6D"/>
    <w:rsid w:val="00B12FC1"/>
    <w:rsid w:val="00B3785F"/>
    <w:rsid w:val="00B43F55"/>
    <w:rsid w:val="00B5393D"/>
    <w:rsid w:val="00B74715"/>
    <w:rsid w:val="00B76D03"/>
    <w:rsid w:val="00B97F78"/>
    <w:rsid w:val="00BB3D46"/>
    <w:rsid w:val="00BC0598"/>
    <w:rsid w:val="00BE48EB"/>
    <w:rsid w:val="00BE773E"/>
    <w:rsid w:val="00BF5FA4"/>
    <w:rsid w:val="00C0232B"/>
    <w:rsid w:val="00C0244B"/>
    <w:rsid w:val="00C02452"/>
    <w:rsid w:val="00C32353"/>
    <w:rsid w:val="00C36E40"/>
    <w:rsid w:val="00C62177"/>
    <w:rsid w:val="00C7081A"/>
    <w:rsid w:val="00C931EA"/>
    <w:rsid w:val="00CA5147"/>
    <w:rsid w:val="00CB76C9"/>
    <w:rsid w:val="00CD0046"/>
    <w:rsid w:val="00D36B96"/>
    <w:rsid w:val="00D43D65"/>
    <w:rsid w:val="00D47BFD"/>
    <w:rsid w:val="00D56936"/>
    <w:rsid w:val="00D64922"/>
    <w:rsid w:val="00D719E0"/>
    <w:rsid w:val="00DB0242"/>
    <w:rsid w:val="00DC5DC8"/>
    <w:rsid w:val="00E41A60"/>
    <w:rsid w:val="00E567C8"/>
    <w:rsid w:val="00E64EC8"/>
    <w:rsid w:val="00E662DD"/>
    <w:rsid w:val="00E7227D"/>
    <w:rsid w:val="00E76BC6"/>
    <w:rsid w:val="00E80E04"/>
    <w:rsid w:val="00EA415A"/>
    <w:rsid w:val="00ED09B6"/>
    <w:rsid w:val="00ED32D3"/>
    <w:rsid w:val="00ED761D"/>
    <w:rsid w:val="00EE6EE8"/>
    <w:rsid w:val="00EF5B98"/>
    <w:rsid w:val="00F07C09"/>
    <w:rsid w:val="00F10611"/>
    <w:rsid w:val="00F23026"/>
    <w:rsid w:val="00F41576"/>
    <w:rsid w:val="00F55BFE"/>
    <w:rsid w:val="00F60041"/>
    <w:rsid w:val="00F61FA1"/>
    <w:rsid w:val="00F64657"/>
    <w:rsid w:val="00F814AD"/>
    <w:rsid w:val="00F97422"/>
    <w:rsid w:val="00FA4989"/>
    <w:rsid w:val="00FA64C7"/>
    <w:rsid w:val="00FC413F"/>
    <w:rsid w:val="00FD29E0"/>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frastructure.gov.au/" TargetMode="External"/><Relationship Id="rId2" Type="http://schemas.openxmlformats.org/officeDocument/2006/relationships/customXml" Target="../customXml/item2.xml"/><Relationship Id="rId16" Type="http://schemas.openxmlformats.org/officeDocument/2006/relationships/hyperlink" Target="mailto:publishing@infrastructure.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m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33D963CF7F54CB4C10DFBFAED2731" ma:contentTypeVersion="0" ma:contentTypeDescription="Create a new document." ma:contentTypeScope="" ma:versionID="fd80f6019e1c1c0a72da55da61aafa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2.xml><?xml version="1.0" encoding="utf-8"?>
<ds:datastoreItem xmlns:ds="http://schemas.openxmlformats.org/officeDocument/2006/customXml" ds:itemID="{382F0524-BE65-4D80-BB9E-28D350AF19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DA54128-CA79-4514-A561-D43F8829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DE92CD-146D-4E24-99C1-DB01805F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1081</Words>
  <Characters>6166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Communications and the Arts</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Infrastructure, Transport, Regional Development, Communications and the Arts</dc:creator>
  <cp:keywords/>
  <dc:description>27 September 2022</dc:description>
  <cp:lastModifiedBy>Pishey, Srikanth</cp:lastModifiedBy>
  <cp:revision>2</cp:revision>
  <cp:lastPrinted>2023-07-14T01:53:00Z</cp:lastPrinted>
  <dcterms:created xsi:type="dcterms:W3CDTF">2024-11-28T23:45:00Z</dcterms:created>
  <dcterms:modified xsi:type="dcterms:W3CDTF">2024-11-28T23:45:00Z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0x01010067933D963CF7F54CB4C10DFBFAED2731</vt:lpwstr>
  </property>
  <property fmtid="{D5CDD505-2E9C-101B-9397-08002B2CF9AE}" pid="3" name="TrimRevisionNumber">
    <vt:i4>1</vt:i4>
  </property>
</Properties>
</file>